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D719" w14:textId="77777777" w:rsidR="00585CB0" w:rsidRDefault="00585CB0">
      <w:pPr>
        <w:pStyle w:val="BodyA"/>
        <w:jc w:val="center"/>
        <w:rPr>
          <w:b/>
          <w:bCs/>
          <w:sz w:val="32"/>
          <w:szCs w:val="32"/>
        </w:rPr>
      </w:pPr>
    </w:p>
    <w:p w14:paraId="0775C143" w14:textId="77777777" w:rsidR="00585CB0" w:rsidRDefault="00972A19">
      <w:pPr>
        <w:pStyle w:val="BodyA"/>
        <w:jc w:val="center"/>
        <w:rPr>
          <w:b/>
          <w:bCs/>
          <w:sz w:val="32"/>
          <w:szCs w:val="32"/>
        </w:rPr>
      </w:pPr>
      <w:r>
        <w:rPr>
          <w:b/>
          <w:bCs/>
          <w:sz w:val="32"/>
          <w:szCs w:val="32"/>
          <w:lang w:val="en-US"/>
        </w:rPr>
        <w:t>Diocese of Bristol</w:t>
      </w:r>
    </w:p>
    <w:p w14:paraId="4B83DF63" w14:textId="426E0657" w:rsidR="00585CB0" w:rsidRDefault="006D3EFB">
      <w:pPr>
        <w:pStyle w:val="BodyA"/>
        <w:jc w:val="center"/>
        <w:rPr>
          <w:b/>
          <w:bCs/>
          <w:sz w:val="32"/>
          <w:szCs w:val="32"/>
        </w:rPr>
      </w:pPr>
      <w:r>
        <w:rPr>
          <w:b/>
          <w:bCs/>
          <w:sz w:val="32"/>
          <w:szCs w:val="32"/>
          <w:lang w:val="en-US"/>
        </w:rPr>
        <w:t>Benefice</w:t>
      </w:r>
      <w:r w:rsidR="00972A19">
        <w:rPr>
          <w:b/>
          <w:bCs/>
          <w:sz w:val="32"/>
          <w:szCs w:val="32"/>
          <w:lang w:val="en-US"/>
        </w:rPr>
        <w:t xml:space="preserve"> of West Swindon and Lydiard Tregoze</w:t>
      </w:r>
    </w:p>
    <w:p w14:paraId="1D1DADB6" w14:textId="77777777" w:rsidR="00585CB0" w:rsidRPr="00847532" w:rsidRDefault="00847532">
      <w:pPr>
        <w:pStyle w:val="BodyA"/>
        <w:jc w:val="center"/>
        <w:rPr>
          <w:b/>
          <w:bCs/>
          <w:color w:val="auto"/>
          <w:u w:color="FF0000"/>
        </w:rPr>
      </w:pPr>
      <w:r w:rsidRPr="00847532">
        <w:rPr>
          <w:b/>
          <w:bCs/>
          <w:color w:val="auto"/>
          <w:sz w:val="32"/>
          <w:szCs w:val="32"/>
          <w:u w:color="FF0000"/>
        </w:rPr>
        <w:t>03/03/2024</w:t>
      </w:r>
    </w:p>
    <w:p w14:paraId="169DE34E" w14:textId="77777777" w:rsidR="00585CB0" w:rsidRDefault="00972A19">
      <w:pPr>
        <w:pStyle w:val="Heading"/>
        <w:jc w:val="center"/>
      </w:pPr>
      <w:r>
        <w:t>Policy on the recruitment of ex-offenders</w:t>
      </w:r>
    </w:p>
    <w:p w14:paraId="4225E60D" w14:textId="342E8109" w:rsidR="00585CB0" w:rsidRDefault="00847532">
      <w:pPr>
        <w:pStyle w:val="NormalWeb"/>
        <w:numPr>
          <w:ilvl w:val="0"/>
          <w:numId w:val="2"/>
        </w:numPr>
        <w:shd w:val="clear" w:color="auto" w:fill="FFFFFF"/>
        <w:spacing w:before="120" w:after="120"/>
        <w:rPr>
          <w:rFonts w:ascii="Arial" w:hAnsi="Arial"/>
          <w:color w:val="0B0C0C"/>
          <w:sz w:val="28"/>
          <w:szCs w:val="28"/>
        </w:rPr>
      </w:pPr>
      <w:r>
        <w:rPr>
          <w:rFonts w:ascii="Arial" w:hAnsi="Arial"/>
          <w:color w:val="0B0C0C"/>
          <w:sz w:val="28"/>
          <w:szCs w:val="28"/>
          <w:u w:color="0B0C0C"/>
        </w:rPr>
        <w:t>A</w:t>
      </w:r>
      <w:r w:rsidR="00972A19">
        <w:rPr>
          <w:rFonts w:ascii="Arial" w:hAnsi="Arial"/>
          <w:color w:val="0B0C0C"/>
          <w:sz w:val="28"/>
          <w:szCs w:val="28"/>
          <w:u w:color="0B0C0C"/>
        </w:rPr>
        <w:t xml:space="preserve">s an organisation assessing applicants’ suitability for positions which are included in the Rehabilitation of Offenders Act 1974 (Exceptions) Order using criminal record checks processed through the Disclosure and Barring Service (DBS), </w:t>
      </w:r>
      <w:r>
        <w:rPr>
          <w:rFonts w:ascii="Arial" w:hAnsi="Arial"/>
          <w:color w:val="0B0C0C"/>
          <w:sz w:val="28"/>
          <w:szCs w:val="28"/>
          <w:u w:color="0B0C0C"/>
        </w:rPr>
        <w:t xml:space="preserve">the </w:t>
      </w:r>
      <w:r w:rsidR="006D3EFB">
        <w:rPr>
          <w:rFonts w:ascii="Arial" w:hAnsi="Arial"/>
          <w:color w:val="0B0C0C"/>
          <w:sz w:val="28"/>
          <w:szCs w:val="28"/>
          <w:u w:color="0B0C0C"/>
        </w:rPr>
        <w:t>benefice</w:t>
      </w:r>
      <w:r>
        <w:rPr>
          <w:rFonts w:ascii="Arial" w:hAnsi="Arial"/>
          <w:color w:val="0B0C0C"/>
          <w:sz w:val="28"/>
          <w:szCs w:val="28"/>
          <w:u w:color="0B0C0C"/>
        </w:rPr>
        <w:t xml:space="preserve"> of </w:t>
      </w:r>
      <w:r w:rsidR="00972A19">
        <w:rPr>
          <w:rFonts w:ascii="Arial" w:hAnsi="Arial"/>
          <w:color w:val="0B0C0C"/>
          <w:sz w:val="28"/>
          <w:szCs w:val="28"/>
          <w:u w:color="0B0C0C"/>
        </w:rPr>
        <w:t>West Swindon and Lydiard Tregoze complies fully with the </w:t>
      </w:r>
      <w:hyperlink r:id="rId7" w:history="1">
        <w:r w:rsidR="00972A19">
          <w:rPr>
            <w:rStyle w:val="Hyperlink0"/>
            <w:rFonts w:ascii="Arial" w:hAnsi="Arial"/>
            <w:sz w:val="28"/>
            <w:szCs w:val="28"/>
          </w:rPr>
          <w:t>code of practice</w:t>
        </w:r>
      </w:hyperlink>
      <w:r w:rsidR="00972A19">
        <w:rPr>
          <w:rStyle w:val="None"/>
          <w:rFonts w:ascii="Arial" w:eastAsia="Arial" w:hAnsi="Arial" w:cs="Arial"/>
          <w:color w:val="0B0C0C"/>
          <w:sz w:val="28"/>
          <w:szCs w:val="28"/>
          <w:u w:color="0B0C0C"/>
          <w:vertAlign w:val="superscript"/>
        </w:rPr>
        <w:footnoteReference w:id="2"/>
      </w:r>
      <w:r w:rsidR="00972A19">
        <w:rPr>
          <w:rStyle w:val="None"/>
          <w:rFonts w:ascii="Arial" w:hAnsi="Arial"/>
          <w:color w:val="0B0C0C"/>
          <w:sz w:val="28"/>
          <w:szCs w:val="28"/>
          <w:u w:color="0B0C0C"/>
        </w:rPr>
        <w:t> and undertakes to treat all applicants for positions fairly</w:t>
      </w:r>
    </w:p>
    <w:p w14:paraId="3C040014" w14:textId="44B1C553"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 Tregoze</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undertakes not to discriminate unfairly against any subject of a criminal record check on the basis of a conviction or other information revealed</w:t>
      </w:r>
    </w:p>
    <w:p w14:paraId="0083D3DD" w14:textId="1452FD2D"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 Tregoze</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 xml:space="preserve">can only ask an individual to provide details of convictions and cautions that </w:t>
      </w: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 Tregoze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Pr>
          <w:rStyle w:val="None"/>
          <w:rFonts w:ascii="Arial" w:hAnsi="Arial"/>
          <w:color w:val="0B0C0C"/>
          <w:sz w:val="28"/>
          <w:szCs w:val="28"/>
          <w:u w:color="0B0C0C"/>
        </w:rPr>
        <w:t xml:space="preserve"> 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 Tregoze can only ask an individual about convictions and cautions that are not protected</w:t>
      </w:r>
    </w:p>
    <w:p w14:paraId="5C637B88" w14:textId="0A565EBD"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 Tregoze</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is committed to the fair treatment of its staff, potential staff or users of its services, regardless of race, gender, religion, sexual orientation, responsibilities for dependants, age, physical/mental disability or offending background</w:t>
      </w:r>
    </w:p>
    <w:p w14:paraId="6F86FDBA" w14:textId="73E13DA7"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Lydiard </w:t>
      </w:r>
      <w:r>
        <w:rPr>
          <w:rStyle w:val="None"/>
          <w:rFonts w:ascii="Arial" w:hAnsi="Arial"/>
          <w:color w:val="0B0C0C"/>
          <w:sz w:val="28"/>
          <w:szCs w:val="28"/>
          <w:u w:color="0B0C0C"/>
        </w:rPr>
        <w:t>Tregoze</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has a written policy on the recruitment of ex-offenders, which is made available to all DBS applicants at the start of the recruitment process</w:t>
      </w:r>
    </w:p>
    <w:p w14:paraId="28C0AE66" w14:textId="3211FA3F"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lastRenderedPageBreak/>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West Swindon and Lydiard</w:t>
      </w:r>
      <w:r>
        <w:rPr>
          <w:rStyle w:val="None"/>
          <w:rFonts w:ascii="Arial" w:hAnsi="Arial"/>
          <w:color w:val="0B0C0C"/>
          <w:sz w:val="28"/>
          <w:szCs w:val="28"/>
          <w:u w:color="0B0C0C"/>
        </w:rPr>
        <w:t xml:space="preserve"> Tregoze</w:t>
      </w:r>
      <w:r w:rsidR="00972A19">
        <w:rPr>
          <w:rStyle w:val="None"/>
          <w:rFonts w:ascii="Arial" w:hAnsi="Arial"/>
          <w:color w:val="0B0C0C"/>
          <w:sz w:val="28"/>
          <w:szCs w:val="28"/>
          <w:u w:color="0B0C0C"/>
        </w:rPr>
        <w:t xml:space="preserve"> actively promotes equality of opportunity for all with the right mix of talent, skills and potential and welcome applications from a wide range of candidates, including those with criminal records</w:t>
      </w:r>
    </w:p>
    <w:p w14:paraId="02EF5334" w14:textId="14208481"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 select all candidates for interview based on their skills, qualifications and experience</w:t>
      </w:r>
    </w:p>
    <w:p w14:paraId="3257A4B1" w14:textId="77777777"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A</w:t>
      </w:r>
      <w:r w:rsidR="00972A19">
        <w:rPr>
          <w:rStyle w:val="None"/>
          <w:rFonts w:ascii="Arial" w:hAnsi="Arial"/>
          <w:color w:val="0B0C0C"/>
          <w:sz w:val="28"/>
          <w:szCs w:val="28"/>
          <w:u w:color="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6755F9FC" w14:textId="6BFE3F39"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ensures that all those in the parish</w:t>
      </w:r>
      <w:r w:rsidR="00972A19">
        <w:rPr>
          <w:rStyle w:val="None"/>
          <w:rFonts w:ascii="Arial" w:hAnsi="Arial"/>
          <w:color w:val="FF0000"/>
          <w:sz w:val="28"/>
          <w:szCs w:val="28"/>
          <w:u w:color="FF0000"/>
        </w:rPr>
        <w:t xml:space="preserve"> </w:t>
      </w:r>
      <w:r w:rsidR="00972A19">
        <w:rPr>
          <w:rStyle w:val="None"/>
          <w:rFonts w:ascii="Arial" w:hAnsi="Arial"/>
          <w:color w:val="0B0C0C"/>
          <w:sz w:val="28"/>
          <w:szCs w:val="28"/>
          <w:u w:color="0B0C0C"/>
        </w:rPr>
        <w:t>who are involved in the recruitment process have been suitably trained to identify and assess the relevance and circumstances of offences</w:t>
      </w:r>
    </w:p>
    <w:p w14:paraId="686427AA" w14:textId="634BA2C0"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 also ensures that they have received appropriate guidance and training in the relevant legislation relating to the employment of ex-offenders, e.g. the Rehabilitation of Offenders Act 1974</w:t>
      </w:r>
    </w:p>
    <w:p w14:paraId="65528CE8" w14:textId="6870EDFD" w:rsidR="00585CB0" w:rsidRDefault="006D3EFB">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A</w:t>
      </w:r>
      <w:r w:rsidR="00972A19">
        <w:rPr>
          <w:rStyle w:val="None"/>
          <w:rFonts w:ascii="Arial" w:hAnsi="Arial"/>
          <w:color w:val="0B0C0C"/>
          <w:sz w:val="28"/>
          <w:szCs w:val="28"/>
          <w:u w:color="0B0C0C"/>
        </w:rPr>
        <w:t xml:space="preserve">t interview, or in a separate discussion, </w:t>
      </w:r>
      <w:r w:rsidR="00847532">
        <w:rPr>
          <w:rStyle w:val="None"/>
          <w:rFonts w:ascii="Arial" w:hAnsi="Arial"/>
          <w:color w:val="0B0C0C"/>
          <w:sz w:val="28"/>
          <w:szCs w:val="28"/>
          <w:u w:color="0B0C0C"/>
        </w:rPr>
        <w:t xml:space="preserve">the </w:t>
      </w:r>
      <w:r>
        <w:rPr>
          <w:rStyle w:val="None"/>
          <w:rFonts w:ascii="Arial" w:hAnsi="Arial"/>
          <w:color w:val="0B0C0C"/>
          <w:sz w:val="28"/>
          <w:szCs w:val="28"/>
          <w:u w:color="0B0C0C"/>
        </w:rPr>
        <w:t>benefice</w:t>
      </w:r>
      <w:r w:rsidR="00847532">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sidR="00847532">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AF48C8E" w14:textId="48A781A3"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 makes every subject of a criminal record check submitted to DBS aware of the existence of the code of practice and makes a copy available on request</w:t>
      </w:r>
    </w:p>
    <w:p w14:paraId="02C0E920" w14:textId="04E1356E" w:rsidR="00585CB0" w:rsidRDefault="00847532">
      <w:pPr>
        <w:pStyle w:val="NormalWeb"/>
        <w:numPr>
          <w:ilvl w:val="0"/>
          <w:numId w:val="2"/>
        </w:numPr>
        <w:shd w:val="clear" w:color="auto" w:fill="FFFFFF"/>
        <w:spacing w:before="120" w:after="120"/>
        <w:rPr>
          <w:rFonts w:ascii="Arial" w:hAnsi="Arial"/>
          <w:color w:val="0B0C0C"/>
          <w:sz w:val="28"/>
          <w:szCs w:val="28"/>
        </w:rPr>
      </w:pPr>
      <w:r>
        <w:rPr>
          <w:rStyle w:val="None"/>
          <w:rFonts w:ascii="Arial" w:hAnsi="Arial"/>
          <w:color w:val="0B0C0C"/>
          <w:sz w:val="28"/>
          <w:szCs w:val="28"/>
          <w:u w:color="0B0C0C"/>
        </w:rPr>
        <w:t xml:space="preserve">The </w:t>
      </w:r>
      <w:r w:rsidR="006D3EFB">
        <w:rPr>
          <w:rStyle w:val="None"/>
          <w:rFonts w:ascii="Arial" w:hAnsi="Arial"/>
          <w:color w:val="0B0C0C"/>
          <w:sz w:val="28"/>
          <w:szCs w:val="28"/>
          <w:u w:color="0B0C0C"/>
        </w:rPr>
        <w:t>benefice</w:t>
      </w:r>
      <w:r>
        <w:rPr>
          <w:rStyle w:val="None"/>
          <w:rFonts w:ascii="Arial" w:hAnsi="Arial"/>
          <w:color w:val="0B0C0C"/>
          <w:sz w:val="28"/>
          <w:szCs w:val="28"/>
          <w:u w:color="0B0C0C"/>
        </w:rPr>
        <w:t xml:space="preserve"> of </w:t>
      </w:r>
      <w:r w:rsidR="00972A19">
        <w:rPr>
          <w:rStyle w:val="None"/>
          <w:rFonts w:ascii="Arial" w:hAnsi="Arial"/>
          <w:color w:val="0B0C0C"/>
          <w:sz w:val="28"/>
          <w:szCs w:val="28"/>
          <w:u w:color="0B0C0C"/>
        </w:rPr>
        <w:t xml:space="preserve">West Swindon and </w:t>
      </w:r>
      <w:r>
        <w:rPr>
          <w:rStyle w:val="None"/>
          <w:rFonts w:ascii="Arial" w:hAnsi="Arial"/>
          <w:color w:val="0B0C0C"/>
          <w:sz w:val="28"/>
          <w:szCs w:val="28"/>
          <w:u w:color="0B0C0C"/>
        </w:rPr>
        <w:t xml:space="preserve">Lydiard </w:t>
      </w:r>
      <w:r w:rsidR="00972A19">
        <w:rPr>
          <w:rStyle w:val="None"/>
          <w:rFonts w:ascii="Arial" w:hAnsi="Arial"/>
          <w:color w:val="0B0C0C"/>
          <w:sz w:val="28"/>
          <w:szCs w:val="28"/>
          <w:u w:color="0B0C0C"/>
        </w:rPr>
        <w:t>Tregoze undertakes to discuss any matter revealed on a DBS certificate with the individual seeking the position before withdrawing a conditional offer of employment.</w:t>
      </w:r>
    </w:p>
    <w:sectPr w:rsidR="00585CB0">
      <w:headerReference w:type="default" r:id="rId8"/>
      <w:footerReference w:type="default" r:id="rId9"/>
      <w:pgSz w:w="11900" w:h="16840"/>
      <w:pgMar w:top="1817"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7D99" w14:textId="77777777" w:rsidR="009022DE" w:rsidRDefault="009022DE">
      <w:r>
        <w:separator/>
      </w:r>
    </w:p>
  </w:endnote>
  <w:endnote w:type="continuationSeparator" w:id="0">
    <w:p w14:paraId="30DE2F8F" w14:textId="77777777" w:rsidR="009022DE" w:rsidRDefault="0090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8F64" w14:textId="77777777" w:rsidR="00585CB0" w:rsidRDefault="00972A19">
    <w:pPr>
      <w:pStyle w:val="Footer"/>
      <w:tabs>
        <w:tab w:val="clear" w:pos="9026"/>
        <w:tab w:val="right" w:pos="9000"/>
      </w:tabs>
    </w:pPr>
    <w:r>
      <w:fldChar w:fldCharType="begin"/>
    </w:r>
    <w:r>
      <w:instrText xml:space="preserve"> PAGE </w:instrText>
    </w:r>
    <w:r>
      <w:fldChar w:fldCharType="separate"/>
    </w:r>
    <w:r w:rsidR="008475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14F7" w14:textId="77777777" w:rsidR="009022DE" w:rsidRDefault="009022DE">
      <w:r>
        <w:separator/>
      </w:r>
    </w:p>
  </w:footnote>
  <w:footnote w:type="continuationSeparator" w:id="0">
    <w:p w14:paraId="1D2D2803" w14:textId="77777777" w:rsidR="009022DE" w:rsidRDefault="009022DE">
      <w:r>
        <w:continuationSeparator/>
      </w:r>
    </w:p>
  </w:footnote>
  <w:footnote w:type="continuationNotice" w:id="1">
    <w:p w14:paraId="799821B3" w14:textId="77777777" w:rsidR="009022DE" w:rsidRDefault="009022DE"/>
  </w:footnote>
  <w:footnote w:id="2">
    <w:p w14:paraId="0EBC44D6" w14:textId="77777777" w:rsidR="00585CB0" w:rsidRDefault="00972A19">
      <w:pPr>
        <w:pStyle w:val="FootnoteText"/>
      </w:pPr>
      <w:r>
        <w:rPr>
          <w:rStyle w:val="None"/>
          <w:color w:val="0B0C0C"/>
          <w:sz w:val="28"/>
          <w:szCs w:val="28"/>
          <w:u w:color="0B0C0C"/>
          <w:vertAlign w:val="superscript"/>
        </w:rPr>
        <w:footnoteRef/>
      </w:r>
      <w:r>
        <w:rPr>
          <w:rStyle w:val="None"/>
          <w:rFonts w:eastAsia="Arial Unicode MS" w:cs="Arial Unicode MS"/>
        </w:rPr>
        <w:t xml:space="preserve"> </w:t>
      </w:r>
      <w:hyperlink r:id="rId1" w:history="1">
        <w:r>
          <w:rPr>
            <w:rStyle w:val="Hyperlink1"/>
            <w:rFonts w:eastAsia="Arial Unicode MS" w:cs="Arial Unicode MS"/>
          </w:rPr>
          <w:t>https://www.gov.uk/government/publications/dbs-code-of-practice</w:t>
        </w:r>
      </w:hyperlink>
      <w:r>
        <w:rPr>
          <w:rStyle w:val="None"/>
          <w:rFonts w:eastAsia="Arial Unicode MS" w:cs="Arial Unicode M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B27E" w14:textId="77777777" w:rsidR="00585CB0" w:rsidRDefault="00972A19">
    <w:pPr>
      <w:pStyle w:val="Header"/>
      <w:tabs>
        <w:tab w:val="clear" w:pos="9026"/>
        <w:tab w:val="right" w:pos="9000"/>
      </w:tabs>
    </w:pPr>
    <w:r>
      <w:t>Policy Date: 0</w:t>
    </w:r>
    <w:r w:rsidR="00847532">
      <w:t>7/03</w:t>
    </w:r>
    <w:r>
      <w:t>/2024</w:t>
    </w:r>
  </w:p>
  <w:p w14:paraId="32AB4DDD" w14:textId="77777777" w:rsidR="00585CB0" w:rsidRDefault="00972A19">
    <w:pPr>
      <w:pStyle w:val="Header"/>
      <w:tabs>
        <w:tab w:val="clear" w:pos="9026"/>
        <w:tab w:val="right" w:pos="9000"/>
      </w:tabs>
    </w:pPr>
    <w:r>
      <w:t>Version Number: 1</w:t>
    </w:r>
  </w:p>
  <w:p w14:paraId="70D6D2B3" w14:textId="77777777" w:rsidR="00585CB0" w:rsidRDefault="00972A19">
    <w:pPr>
      <w:pStyle w:val="Header"/>
      <w:tabs>
        <w:tab w:val="clear" w:pos="9026"/>
        <w:tab w:val="right" w:pos="9000"/>
      </w:tabs>
    </w:pPr>
    <w:r>
      <w:t xml:space="preserve">Due for review: </w:t>
    </w:r>
    <w:r w:rsidR="00847532">
      <w:t>08/03</w:t>
    </w:r>
    <w:r>
      <w:t>/2</w:t>
    </w:r>
    <w:r w:rsidR="0084753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14D9"/>
    <w:multiLevelType w:val="hybridMultilevel"/>
    <w:tmpl w:val="FA52A5F4"/>
    <w:styleLink w:val="ImportedStyle1"/>
    <w:lvl w:ilvl="0" w:tplc="2F1EF578">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3089BEC">
      <w:start w:val="1"/>
      <w:numFmt w:val="bullet"/>
      <w:lvlText w:val="·"/>
      <w:lvlJc w:val="left"/>
      <w:pPr>
        <w:tabs>
          <w:tab w:val="left" w:pos="720"/>
        </w:tabs>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202BFC4">
      <w:start w:val="1"/>
      <w:numFmt w:val="bullet"/>
      <w:lvlText w:val="·"/>
      <w:lvlJc w:val="left"/>
      <w:pPr>
        <w:tabs>
          <w:tab w:val="left" w:pos="720"/>
        </w:tabs>
        <w:ind w:left="1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DF876EC">
      <w:start w:val="1"/>
      <w:numFmt w:val="bullet"/>
      <w:lvlText w:val="·"/>
      <w:lvlJc w:val="left"/>
      <w:pPr>
        <w:tabs>
          <w:tab w:val="left" w:pos="72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CE785A">
      <w:start w:val="1"/>
      <w:numFmt w:val="bullet"/>
      <w:lvlText w:val="·"/>
      <w:lvlJc w:val="left"/>
      <w:pPr>
        <w:tabs>
          <w:tab w:val="left" w:pos="720"/>
        </w:tabs>
        <w:ind w:left="3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D90DF0C">
      <w:start w:val="1"/>
      <w:numFmt w:val="bullet"/>
      <w:lvlText w:val="·"/>
      <w:lvlJc w:val="left"/>
      <w:pPr>
        <w:tabs>
          <w:tab w:val="left" w:pos="720"/>
        </w:tabs>
        <w:ind w:left="3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46C5940">
      <w:start w:val="1"/>
      <w:numFmt w:val="bullet"/>
      <w:lvlText w:val="·"/>
      <w:lvlJc w:val="left"/>
      <w:pPr>
        <w:tabs>
          <w:tab w:val="left" w:pos="72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90EC05E">
      <w:start w:val="1"/>
      <w:numFmt w:val="bullet"/>
      <w:lvlText w:val="·"/>
      <w:lvlJc w:val="left"/>
      <w:pPr>
        <w:tabs>
          <w:tab w:val="left" w:pos="720"/>
        </w:tabs>
        <w:ind w:left="5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0E35C8">
      <w:start w:val="1"/>
      <w:numFmt w:val="bullet"/>
      <w:lvlText w:val="·"/>
      <w:lvlJc w:val="left"/>
      <w:pPr>
        <w:tabs>
          <w:tab w:val="left" w:pos="720"/>
        </w:tabs>
        <w:ind w:left="6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32024011"/>
    <w:multiLevelType w:val="hybridMultilevel"/>
    <w:tmpl w:val="FA52A5F4"/>
    <w:numStyleLink w:val="ImportedStyle1"/>
  </w:abstractNum>
  <w:num w:numId="1" w16cid:durableId="1121998517">
    <w:abstractNumId w:val="0"/>
  </w:num>
  <w:num w:numId="2" w16cid:durableId="159135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B0"/>
    <w:rsid w:val="00000ADB"/>
    <w:rsid w:val="00585CB0"/>
    <w:rsid w:val="006D3EFB"/>
    <w:rsid w:val="00847532"/>
    <w:rsid w:val="009022DE"/>
    <w:rsid w:val="0097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1E8B"/>
  <w15:docId w15:val="{256F1281-1AA4-4953-8289-4D4B19D7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eastAsia="Arial" w:hAnsi="Arial" w:cs="Arial"/>
      <w:color w:val="000000"/>
      <w:sz w:val="24"/>
      <w:szCs w:val="24"/>
      <w:u w:color="000000"/>
      <w:lang w:val="en-US"/>
    </w:rPr>
  </w:style>
  <w:style w:type="paragraph" w:customStyle="1" w:styleId="BodyA">
    <w:name w:val="Body A"/>
    <w:pPr>
      <w:spacing w:after="200" w:line="276" w:lineRule="auto"/>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keepLines/>
      <w:spacing w:before="480" w:line="276" w:lineRule="auto"/>
      <w:outlineLvl w:val="0"/>
    </w:pPr>
    <w:rPr>
      <w:rFonts w:ascii="Gill Sans MT" w:hAnsi="Gill Sans MT" w:cs="Arial Unicode MS"/>
      <w:b/>
      <w:bCs/>
      <w:color w:val="000000"/>
      <w:sz w:val="28"/>
      <w:szCs w:val="28"/>
      <w:u w:color="000000"/>
      <w:lang w:val="en-US"/>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4C2C92"/>
      <w:u w:val="single" w:color="4C2C92"/>
    </w:rPr>
  </w:style>
  <w:style w:type="paragraph" w:styleId="FootnoteText">
    <w:name w:val="footnote text"/>
    <w:rPr>
      <w:rFonts w:ascii="Arial" w:eastAsia="Arial" w:hAnsi="Arial" w:cs="Arial"/>
      <w:color w:val="000000"/>
      <w:u w:color="000000"/>
      <w:lang w:val="en-US"/>
    </w:rPr>
  </w:style>
  <w:style w:type="character" w:customStyle="1" w:styleId="Hyperlink1">
    <w:name w:val="Hyperlink.1"/>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Nicholas</dc:creator>
  <cp:lastModifiedBy>Linda Nicholas</cp:lastModifiedBy>
  <cp:revision>2</cp:revision>
  <dcterms:created xsi:type="dcterms:W3CDTF">2024-02-27T17:12:00Z</dcterms:created>
  <dcterms:modified xsi:type="dcterms:W3CDTF">2025-03-24T10:03:00Z</dcterms:modified>
</cp:coreProperties>
</file>